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477" w14:textId="77777777" w:rsidR="00B07954" w:rsidRPr="00B07954" w:rsidRDefault="00B07954" w:rsidP="00B0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B07954" w:rsidRPr="00B07954" w14:paraId="3EE042E1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76FF655B" w14:textId="77777777" w:rsidR="00B07954" w:rsidRPr="00B07954" w:rsidRDefault="00B07954" w:rsidP="00B07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B0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Dr</w:t>
            </w:r>
            <w:proofErr w:type="spellEnd"/>
            <w:r w:rsidRPr="00B0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Tornóczki</w:t>
            </w:r>
            <w:proofErr w:type="spellEnd"/>
            <w:r w:rsidRPr="00B0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0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János ,</w:t>
            </w:r>
            <w:proofErr w:type="gramEnd"/>
            <w:r w:rsidRPr="00B0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br/>
              <w:t>a „Sióagárd Díszpolgára” cím 2008. évi kitüntetettje</w:t>
            </w:r>
            <w:r w:rsidRPr="00B07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br/>
              <w:t>életútjának és munkásságának méltatása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079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(Elhangzott Sióagárdon, 2008. május 16-án)</w:t>
            </w:r>
          </w:p>
        </w:tc>
      </w:tr>
      <w:tr w:rsidR="00B07954" w:rsidRPr="00B07954" w14:paraId="5AB9F3C2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3C727E17" w14:textId="77777777" w:rsidR="00B07954" w:rsidRPr="00B07954" w:rsidRDefault="00B07954" w:rsidP="00B07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   </w:t>
            </w:r>
          </w:p>
          <w:p w14:paraId="0F5C15B8" w14:textId="77777777" w:rsidR="00B07954" w:rsidRPr="00B07954" w:rsidRDefault="00B07954" w:rsidP="00B07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</w:t>
            </w:r>
          </w:p>
        </w:tc>
      </w:tr>
      <w:tr w:rsidR="00B07954" w:rsidRPr="00B07954" w14:paraId="0369601C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2AC930FF" w14:textId="77777777" w:rsidR="00B07954" w:rsidRPr="00B07954" w:rsidRDefault="00B07954" w:rsidP="00B07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proofErr w:type="spellStart"/>
            <w:r w:rsidRPr="00B079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Dr</w:t>
            </w:r>
            <w:proofErr w:type="spellEnd"/>
            <w:r w:rsidRPr="00B079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 xml:space="preserve"> </w:t>
            </w:r>
            <w:proofErr w:type="spellStart"/>
            <w:r w:rsidRPr="00B079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Tornóczki</w:t>
            </w:r>
            <w:proofErr w:type="spellEnd"/>
            <w:r w:rsidRPr="00B079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 xml:space="preserve"> János nyugalmazott Főorvos</w:t>
            </w:r>
            <w:r w:rsidRPr="00B079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br/>
              <w:t>a Pécsi Orvostudományi Egyetem címzetes egyetemi docense</w:t>
            </w:r>
          </w:p>
        </w:tc>
      </w:tr>
      <w:tr w:rsidR="00B07954" w:rsidRPr="00B07954" w14:paraId="0DB7CDE6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7C98D1DC" w14:textId="77777777" w:rsidR="00B07954" w:rsidRPr="00B07954" w:rsidRDefault="00B07954" w:rsidP="00B07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                 </w:t>
            </w:r>
          </w:p>
        </w:tc>
      </w:tr>
      <w:tr w:rsidR="00B07954" w:rsidRPr="00B07954" w14:paraId="0F030043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5F62B676" w14:textId="77777777" w:rsidR="00B07954" w:rsidRPr="00B07954" w:rsidRDefault="00B07954" w:rsidP="00B07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Jómódú parasztszülők gyermekeként látta meg a napvilágot Sióagárdon. Húgával együtt szülei nagy szeretetben nevelték. Elemi iskolai tanulmányait Sióagárdon végezte, iskola után, mint a többi gyerek segített a szüleinek a földeken az állatok körül.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Gimnáziumi felvétele nem volt zökkenőmentes, mivel akkoriban kellett a falu elöljáróinak az ajánlása a felvételhez. Mégis felvették, s Szekszárdon, a Garay János középiskolában érettségizett., a legjobbak közé tartozott. Barátja, osztálytársa volt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Kőszegi Györgynek a nemrég elhunyt kiváló szemésznek, költőnek.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Ezek után az Orvosi Egyetemre jelentkezett, hiszen gyermekkorától kezdve orvosnak készült. Egyetemi felvételét az akkori kommunista párt nem javasolta, s így hiába voltak kiváló eredményei, nem nyerhetett felvételt. Ekkor 1 évet a postán dolgozott, majd ismét jelentkezett az orvosi egyetemre. 1962-ben a Szegedi Orvostudományi Egyetemen szerezte meg diplomáját.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Kezdő orvosként a gyulai Megyei Kórház I. sz. Belgyógyászati Osztályán dolgozott, itt sajátította el a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klinikum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alapjait.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1968-ban került Szekszárdra, ahol 1971-ig a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gastroenterológiai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(gyomor-bélrendszeri) betegellátásban vett részt, elsajátítva az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endoscópos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vizsgálatok ma már klasszikus módszereit.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A Megyei Kórház IV. sz. Belgyógyászati Osztályának vezetésére 34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évesen,tehát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igen fiatalon, 1971 decemberében kapott megbízást. A kórház akkori főigazgatója,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Szentgáli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Gyula a megye hematológiai, vérképzőszervi megbetegedések ellátásának megszervezését tűzte ki legfontosabb feladatául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A fiatal munkacsoport a belgyógyászaton belül nagy lelkesedéssel látott az addig mostohán kezelt vérképzőszervi betegek kezeléséhez. A Megyei Hematológiai Gondozót 1973-ban alakították ki a Vértranszfúziós Állomás területén az intézmény akkori vezetőjének,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Kolumbusz Lászlónak a támogatásával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Kezdettől fogva arra törekedtek, hogy a betegeik a lehető legteljesebb, magas színvonalú ellátást helyben megkaphassák. Ennek részeként 20 éve baktériumszegény kórtermeket alakítottak ki a csökkent immunitású betegek </w:t>
            </w:r>
            <w:proofErr w:type="gram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számára..</w:t>
            </w:r>
            <w:proofErr w:type="gram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Tíz éve, felújítást követően ezeket a betegszobákat magas komfortfokozatúvá változtatták, melyekben a betegek az izoláció ellenére is otthonosabban érezhetik magukat.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Az osztályuk ágyszáma az utóbbi évtizedben 100-ról 80-ra csökkent, a gyógyító tevékenység azonban sokszínűbb lett. A hematológia mellett az onkológia,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diabetológia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neuro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-endokrinológia művelése is szakmai feladatukká vált, ami nagyon jól felkészült egyénekből álló csapatmunkát kíván. Főorvos Úr irányítása alatt a hematológiai diagnosztika és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therápia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 valamint a gondozás fokozatosan fejlődött, az osztályon négyen szereztek ráépített szakképesítést.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Tornóczki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Főrovos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éveken át tagja volt a belgyógyászati és hematológiai szakmai kollégiumoknak, a társaság vezetőségének, megelőzően pedig titkára volt a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Kelényi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Professzor Úr vezette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Malignus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Lymphoma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Munkabizottságnak.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Tudományos tevékenység keretében foglalkoztak a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myeloma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multiplexben szenvedő betegek túlélését befolyásoló tényezőkkel, a ritkább altípusokkal. Közel 30 éve bevezették a béta 2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mikroglobulin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vizsgálatát a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malignus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(rosszindulatú) hematológiai betegségek diagnosztikájában és kórlefolyásának követésében Elemezték a hosszan túlélő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myelomás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eseteket.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Tanulmányozták a sejtes immunválaszt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malignus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lymphomában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, a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kemotherapia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mellékhatásainak megelőzési lehetőségeit.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A rosszindulatú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lymphomák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különböző típusaiban meghatározták a túlélési időket. Tanulmányozták az Interferon kezelés eredményeit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myelomában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egyébb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myeloproliferatív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betegségekben.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A korábbinál eredményesebb kezelési módot dolgoztak ki a súlyos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agranulocytozis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ellátásában.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Közel 8 éve a hematológiai betegek gondozása a Vértranszfúziós Állomásról az osztályra került, ahol lényegesen jobb körülmények között végezhetik munkájukat. A hematológiai labor felszereltsége is javult több speciális vizsgálati eljárásra is mód nyílt. Jelenleg hetente 4 napon keresztül történik ambuláns betegellátás.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Tórnóczki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János 2002 szeptember 1-től nyugdíjas. A klinikai munkától azonban nem szakadt el, mert heti 3 napon hematológiai onkológiai és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diabetológiai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szakrendelést </w:t>
            </w:r>
            <w:proofErr w:type="spellStart"/>
            <w:proofErr w:type="gram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végez.Mindezek</w:t>
            </w:r>
            <w:proofErr w:type="spellEnd"/>
            <w:proofErr w:type="gram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mellett boldog családapa, nagypapa Gyermekei közül kettő orvos egyikük pedig pedagógus. A gyógyítás szeretetét átadta gyermekeinek is hiszen egyik unokája is orvosnak készül Főorvos Úr és kedves felesége,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Téglás Ágnes, Ági néni nekem tanító mestereim voltak, mindig nagy szeretettel és hálás szívvel gondolok rájuk. Ági néni az Egészségügyi Szakközépiskolában volt belgyógyászat tanárom, s nem kis szerepe volt abban, hogy orvos lettem. Sokat bíztatott, nevelt, oktatott. Egyetemi éveim alatt pedig a IV Belgyógyászaton voltam szakmai gyakorlaton, majd első munkahelyem is ez az osztály lett. Főorvos Úr mindenben a mai napig segíti munkámat, s kiemelten fontos számára a sióagárdi betegek ellátása.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Hosszú munkája során számos elismerést kapott: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• A Pécsi Orvostudományi Egyetem c. Egyetemi docense (1990)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• Kiváló Munkáért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• Pro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Sanitate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• Pro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Diabetológia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• Magyar Imre díj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• Magyar Belgyógyász Társaság Dunántúli Szekciója emlékérem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• Az Egészségügyi Miniszter Díszoklevele</w:t>
            </w: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 xml:space="preserve">•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Milleneumi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Emléklap (Magyar Diabetes Társaság)</w:t>
            </w:r>
          </w:p>
          <w:p w14:paraId="68FEB8C3" w14:textId="77777777" w:rsidR="00B07954" w:rsidRPr="00B07954" w:rsidRDefault="00B07954" w:rsidP="00B0795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Most pedig Kedves Főorvos Úr fogadja </w:t>
            </w:r>
            <w:proofErr w:type="spellStart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szűlőfaluja</w:t>
            </w:r>
            <w:proofErr w:type="spellEnd"/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elismerését, a Sióagárd Község Díszpolgára díjat.</w:t>
            </w:r>
          </w:p>
        </w:tc>
      </w:tr>
      <w:tr w:rsidR="00B07954" w:rsidRPr="00B07954" w14:paraId="536A6600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012DC1A4" w14:textId="77777777" w:rsidR="00B07954" w:rsidRPr="00B07954" w:rsidRDefault="00B07954" w:rsidP="00B07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            </w:t>
            </w:r>
          </w:p>
        </w:tc>
      </w:tr>
      <w:tr w:rsidR="00B07954" w:rsidRPr="00B07954" w14:paraId="7FD43E7C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33D7FB66" w14:textId="77777777" w:rsidR="00B07954" w:rsidRPr="00B07954" w:rsidRDefault="00B07954" w:rsidP="00B07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Horváthné dr. Horváth Erika</w:t>
            </w:r>
          </w:p>
        </w:tc>
      </w:tr>
      <w:tr w:rsidR="00B07954" w:rsidRPr="00B07954" w14:paraId="759CC911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0C6E115D" w14:textId="77777777" w:rsidR="00B07954" w:rsidRPr="00B07954" w:rsidRDefault="00B07954" w:rsidP="00B07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sz w:val="96"/>
                <w:szCs w:val="96"/>
                <w:lang w:eastAsia="hu-HU"/>
              </w:rPr>
              <w:t>         </w:t>
            </w:r>
          </w:p>
        </w:tc>
      </w:tr>
      <w:tr w:rsidR="00B07954" w:rsidRPr="00B07954" w14:paraId="4A4AD320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1ADA786E" w14:textId="1D22249E" w:rsidR="00B07954" w:rsidRPr="00B07954" w:rsidRDefault="00B07954" w:rsidP="00B07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B07954" w:rsidRPr="00B07954" w14:paraId="0F415AC2" w14:textId="77777777" w:rsidTr="00B07954">
        <w:trPr>
          <w:tblCellSpacing w:w="15" w:type="dxa"/>
          <w:jc w:val="center"/>
        </w:trPr>
        <w:tc>
          <w:tcPr>
            <w:tcW w:w="0" w:type="auto"/>
            <w:hideMark/>
          </w:tcPr>
          <w:p w14:paraId="33925130" w14:textId="77777777" w:rsidR="00B07954" w:rsidRPr="00B07954" w:rsidRDefault="00B07954" w:rsidP="00B07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0795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                   </w:t>
            </w:r>
          </w:p>
        </w:tc>
      </w:tr>
    </w:tbl>
    <w:p w14:paraId="165B4D2D" w14:textId="77777777" w:rsidR="00CB6A33" w:rsidRDefault="00CB6A33"/>
    <w:sectPr w:rsidR="00CB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8C"/>
    <w:rsid w:val="00AB408C"/>
    <w:rsid w:val="00B07954"/>
    <w:rsid w:val="00C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8B42"/>
  <w15:chartTrackingRefBased/>
  <w15:docId w15:val="{B6701DB4-07A1-4575-8493-D901CD3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07954"/>
    <w:rPr>
      <w:b/>
      <w:bCs/>
    </w:rPr>
  </w:style>
  <w:style w:type="character" w:styleId="Kiemels">
    <w:name w:val="Emphasis"/>
    <w:basedOn w:val="Bekezdsalapbettpusa"/>
    <w:uiPriority w:val="20"/>
    <w:qFormat/>
    <w:rsid w:val="00B07954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0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11">
    <w:name w:val="style11"/>
    <w:basedOn w:val="Bekezdsalapbettpusa"/>
    <w:rsid w:val="00B07954"/>
  </w:style>
  <w:style w:type="paragraph" w:customStyle="1" w:styleId="style12">
    <w:name w:val="style12"/>
    <w:basedOn w:val="Norml"/>
    <w:rsid w:val="00B0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121">
    <w:name w:val="style121"/>
    <w:basedOn w:val="Bekezdsalapbettpusa"/>
    <w:rsid w:val="00B07954"/>
  </w:style>
  <w:style w:type="character" w:customStyle="1" w:styleId="style9">
    <w:name w:val="style9"/>
    <w:basedOn w:val="Bekezdsalapbettpusa"/>
    <w:rsid w:val="00B07954"/>
  </w:style>
  <w:style w:type="character" w:styleId="Hiperhivatkozs">
    <w:name w:val="Hyperlink"/>
    <w:basedOn w:val="Bekezdsalapbettpusa"/>
    <w:uiPriority w:val="99"/>
    <w:semiHidden/>
    <w:unhideWhenUsed/>
    <w:rsid w:val="00B07954"/>
    <w:rPr>
      <w:color w:val="0000FF"/>
      <w:u w:val="single"/>
    </w:rPr>
  </w:style>
  <w:style w:type="character" w:customStyle="1" w:styleId="style8">
    <w:name w:val="style8"/>
    <w:basedOn w:val="Bekezdsalapbettpusa"/>
    <w:rsid w:val="00B0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2020-04-16T16:00:00Z</dcterms:created>
  <dcterms:modified xsi:type="dcterms:W3CDTF">2020-04-16T16:00:00Z</dcterms:modified>
</cp:coreProperties>
</file>